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Pr>
                <w:rFonts w:asciiTheme="majorHAnsi" w:hAnsiTheme="majorHAnsi" w:cs="Arial"/>
                <w:b/>
                <w:sz w:val="18"/>
                <w:szCs w:val="18"/>
              </w:rPr>
              <w:t>Green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04D28">
              <w:rPr>
                <w:rFonts w:asciiTheme="majorHAnsi" w:hAnsiTheme="majorHAnsi" w:cs="Arial"/>
                <w:b/>
                <w:sz w:val="18"/>
                <w:szCs w:val="18"/>
              </w:rPr>
              <w:t>GC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2248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2248A">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F65F03">
                    <w:rPr>
                      <w:rFonts w:asciiTheme="majorHAnsi" w:hAnsiTheme="majorHAnsi" w:cs="Arial"/>
                      <w:b/>
                      <w:sz w:val="18"/>
                      <w:szCs w:val="18"/>
                    </w:rPr>
                  </w:r>
                  <w:r w:rsidR="00F65F03">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A04D2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04D28">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F75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04D2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Pr>
                <w:rFonts w:asciiTheme="majorHAnsi" w:hAnsiTheme="majorHAnsi" w:cs="Arial"/>
                <w:b/>
                <w:sz w:val="18"/>
                <w:szCs w:val="18"/>
              </w:rPr>
              <w:t>45</w:t>
            </w:r>
            <w:r w:rsidR="0072248A">
              <w:rPr>
                <w:rFonts w:asciiTheme="majorHAnsi" w:hAnsiTheme="majorHAnsi" w:cs="Arial"/>
                <w:b/>
                <w:sz w:val="18"/>
                <w:szCs w:val="18"/>
              </w:rPr>
              <w:t>,</w:t>
            </w:r>
            <w:r w:rsidR="00A04D28">
              <w:rPr>
                <w:rFonts w:asciiTheme="majorHAnsi" w:hAnsiTheme="majorHAnsi" w:cs="Arial"/>
                <w:b/>
                <w:sz w:val="18"/>
                <w:szCs w:val="18"/>
              </w:rPr>
              <w:t>9</w:t>
            </w:r>
            <w:r w:rsidR="0072248A">
              <w:rPr>
                <w:rFonts w:asciiTheme="majorHAnsi" w:hAnsiTheme="majorHAnsi" w:cs="Arial"/>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2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04D2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Pr>
                <w:rFonts w:asciiTheme="majorHAnsi" w:hAnsiTheme="majorHAnsi" w:cs="Arial"/>
                <w:b/>
                <w:sz w:val="18"/>
                <w:szCs w:val="18"/>
              </w:rPr>
              <w:t>79</w:t>
            </w:r>
            <w:r w:rsidR="00AE5280">
              <w:rPr>
                <w:rFonts w:asciiTheme="majorHAnsi" w:hAnsiTheme="majorHAnsi" w:cs="Arial"/>
                <w:b/>
                <w:sz w:val="18"/>
                <w:szCs w:val="18"/>
              </w:rPr>
              <w:t>,</w:t>
            </w:r>
            <w:r w:rsidR="00A04D28">
              <w:rPr>
                <w:rFonts w:asciiTheme="majorHAnsi" w:hAnsiTheme="majorHAnsi" w:cs="Arial"/>
                <w:b/>
                <w:sz w:val="18"/>
                <w:szCs w:val="18"/>
              </w:rPr>
              <w:t>6</w:t>
            </w:r>
            <w:r w:rsidR="0072248A">
              <w:rPr>
                <w:rFonts w:asciiTheme="majorHAnsi" w:hAnsiTheme="majorHAnsi" w:cs="Arial"/>
                <w:b/>
                <w:sz w:val="18"/>
                <w:szCs w:val="18"/>
              </w:rPr>
              <w:t>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040E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w:t>
            </w:r>
            <w:r w:rsidR="0072248A">
              <w:rPr>
                <w:rFonts w:asciiTheme="majorHAnsi" w:hAnsiTheme="majorHAnsi" w:cs="Arial"/>
                <w:b/>
                <w:sz w:val="18"/>
                <w:szCs w:val="18"/>
              </w:rPr>
              <w:t>/Education in chemistry</w:t>
            </w:r>
            <w:r w:rsidR="00040E11">
              <w:rPr>
                <w:rFonts w:asciiTheme="majorHAnsi" w:hAnsiTheme="majorHAnsi" w:cs="Arial"/>
                <w:b/>
                <w:sz w:val="18"/>
                <w:szCs w:val="18"/>
              </w:rPr>
              <w:t>/ Applied chemistry</w:t>
            </w:r>
            <w:bookmarkStart w:id="3" w:name="_GoBack"/>
            <w:bookmarkEnd w:id="3"/>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46CB1" w:rsidRPr="00A46CB1">
              <w:rPr>
                <w:rFonts w:asciiTheme="majorHAnsi" w:hAnsiTheme="majorHAnsi" w:cs="Arial"/>
                <w:b/>
                <w:sz w:val="18"/>
                <w:szCs w:val="18"/>
              </w:rPr>
              <w:t xml:space="preserve">Dr.sci. </w:t>
            </w:r>
            <w:r w:rsidR="00A04D28">
              <w:rPr>
                <w:rFonts w:asciiTheme="majorHAnsi" w:hAnsiTheme="majorHAnsi" w:cs="Arial"/>
                <w:b/>
                <w:sz w:val="18"/>
                <w:szCs w:val="18"/>
              </w:rPr>
              <w:t>Benjamin Ćatović</w:t>
            </w:r>
            <w:r w:rsidR="00A46CB1" w:rsidRPr="00A46CB1">
              <w:rPr>
                <w:rFonts w:asciiTheme="majorHAnsi" w:hAnsiTheme="majorHAnsi" w:cs="Arial"/>
                <w:b/>
                <w:sz w:val="18"/>
                <w:szCs w:val="18"/>
              </w:rPr>
              <w:t xml:space="preserve">, </w:t>
            </w:r>
            <w:r w:rsidR="00A04D28" w:rsidRPr="00A04D28">
              <w:rPr>
                <w:rFonts w:asciiTheme="majorHAnsi" w:hAnsiTheme="majorHAnsi" w:cs="Arial"/>
                <w:b/>
                <w:sz w:val="18"/>
                <w:szCs w:val="18"/>
              </w:rPr>
              <w:t>associate professo</w:t>
            </w:r>
            <w:r w:rsidR="00A04D28">
              <w:rPr>
                <w:rFonts w:asciiTheme="majorHAnsi" w:hAnsiTheme="majorHAnsi" w:cs="Arial"/>
                <w:b/>
                <w:sz w:val="18"/>
                <w:szCs w:val="18"/>
              </w:rPr>
              <w:t>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 xml:space="preserve">Application of fundamental knowledge of chemistry and related sciences in the production of chemical products and optimization of chemical processes in order to reduce or eliminate the use and production of environmentally hazardous substances. Introduce the concept and discipline of Green Chemistry. Demonstrate the need and sustainability of Green </w:t>
            </w:r>
            <w:r w:rsidR="00A04D28" w:rsidRPr="00A04D28">
              <w:rPr>
                <w:rFonts w:asciiTheme="majorHAnsi" w:hAnsiTheme="majorHAnsi" w:cs="Arial"/>
                <w:b/>
                <w:sz w:val="18"/>
                <w:szCs w:val="18"/>
              </w:rPr>
              <w:lastRenderedPageBreak/>
              <w:t>Chemistry methods in chemistry as a science and related disciplines. Introduce the 12 principles of Green Chemistry and Green Chemistry methods including the use of alternative raw materials and starting materials, reagents, solvents, target molecules, and catalysts. Demonstrate how to evaluate a reaction or process and propose a green alternative, and focus on the application of innovative technologies to develop more environmentally friendly processes.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Acquiring competencies for the application of fundamental knowledge of chemistry and related scientific disciplines in the production of chemical products and the optimization of chemical processes in order to reduce or eliminate the use and production of environmentally hazardous substances. Acquiring knowledge about the implementation of Green Chemistry principles in the entire field of chemistry. Understanding and articulation of new ethical principles.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Subject of study Green Chemistry. Green Chemistry-definition; Green Chemistry Methodology; 12 Principles of Green Chemistry; Green Chemistry Raw Materials; Adverse Effects of Chemicals on Health and the Environment. Measurement and Control of Environmental Protection Activities. Green Chemistry Solvents; Green Chemistry Synthesis Flows; Functional Group Approach to Green Chemistry; Quantitative/Optimization-Based Framework for Designing Green Chemistry Synthesis Flows; Introduction to the Need for New Ethical Paradigms in a World Where Powerful Technologies, Including Chemicals, Can Have Long-Term Harmful Effects. Green Chemistry and Legislation</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In order to effectively deliver the course and achieve the expected course objectives and student competencies at the end of the semester, the course uses various teaching methods: - lectures (L) with the use of multimedia tools, active learning techniques and with active participation and discussions of students; - theoretical (auditory) exercises (AV) - consultations</w:t>
            </w:r>
            <w:r w:rsidR="00A04D28">
              <w:rPr>
                <w:rFonts w:asciiTheme="majorHAnsi" w:hAnsiTheme="majorHAnsi" w:cs="Arial"/>
                <w:b/>
                <w:sz w:val="18"/>
                <w:szCs w:val="18"/>
              </w:rPr>
              <w:t> </w:t>
            </w:r>
            <w:r w:rsidR="00A04D28">
              <w:rPr>
                <w:rFonts w:asciiTheme="majorHAnsi" w:hAnsiTheme="majorHAnsi" w:cs="Arial"/>
                <w:b/>
                <w:sz w:val="18"/>
                <w:szCs w:val="18"/>
              </w:rPr>
              <w:t> </w:t>
            </w:r>
            <w:r w:rsidR="00A04D28">
              <w:rPr>
                <w:rFonts w:asciiTheme="majorHAnsi" w:hAnsiTheme="majorHAnsi" w:cs="Arial"/>
                <w:b/>
                <w:sz w:val="18"/>
                <w:szCs w:val="18"/>
              </w:rPr>
              <w:t> </w:t>
            </w:r>
            <w:r w:rsidR="00A04D28">
              <w:rPr>
                <w:rFonts w:asciiTheme="majorHAnsi" w:hAnsiTheme="majorHAnsi" w:cs="Arial"/>
                <w:b/>
                <w:sz w:val="18"/>
                <w:szCs w:val="18"/>
              </w:rPr>
              <w:t> </w:t>
            </w:r>
            <w:r w:rsidR="00A04D28">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Student activity is determined by engagement in the teaching process, monitoring and active participation in lectures and exercises. For attendance at lectures and exercises during the semester, a student can earn from 0 to 4 points. Students who have been absent more than three times are not entitled to have the course certified by the subject teacher. After half of the semester, students take a written test (the first partial) that covers the topics covered so far in lectures and exercises. The test consists of tasks on calculations, defining terms, multiple choice, completing, connecting, and graphical presentation. Each correct answer is scored with a number of points that solely depends on the difficulty of the question. After summing up, the points obtained in the test are converted into the number of points provided for by the syllabus, more precisely, a student can earn a maximum of 20 points in the first partial exam. At the end of the semester, students take a written test (the second partial) that covers the topics covered in lectures and exercises from the second part of the semester. The test consists of calculation tasks, definition of terms, multiple choice, completion, connection, graphical presentation. Each correct answer is scored with a number of points that depends exclusively on the difficulty of the question. After summing up, the points obtained in the test are converted into the number of points provided for by the syllabus, more precisely, a student can achieve a maximum of 20 points in the second partial exam. Both tests are taken by all students in the subject at the same time, which achieves uniformity of the level of knowledge being tested, as well as the conditions under which the student takes the exam. The seminar paper will cover topics from the field of Green Chemistry and should be processed by consulting the available textbook literature, literature available on the Internet, etc. Students are required to submit the seminar paper to the teacher for review within a certain time, no later than one month before the end of the semester, in accordance with the instructions. The final exam is written and/or oral. In the final exam, a student can achieve a maximum of 50 points, with the requirement to obtain a majority of the points - 27 - to pass. The format of the questions in the test is identical to the questions in the partial exams. In order to pass the course, a student must achieve a minimum of 54 cumulative points, of which a minimum of 27 points must be obtained in the final exam. The method of taking the make-up and additional make-up exams is identical to the above.</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46CB1" w:rsidRPr="00A46CB1"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 xml:space="preserve">Pre-exam requirements: Tests: </w:t>
            </w:r>
            <w:r w:rsidR="00A04D28">
              <w:rPr>
                <w:rFonts w:asciiTheme="majorHAnsi" w:hAnsiTheme="majorHAnsi" w:cs="Arial"/>
                <w:b/>
                <w:sz w:val="18"/>
                <w:szCs w:val="18"/>
              </w:rPr>
              <w:t>4</w:t>
            </w:r>
            <w:r w:rsidR="00A46CB1" w:rsidRPr="00A46CB1">
              <w:rPr>
                <w:rFonts w:asciiTheme="majorHAnsi" w:hAnsiTheme="majorHAnsi" w:cs="Arial"/>
                <w:b/>
                <w:sz w:val="18"/>
                <w:szCs w:val="18"/>
              </w:rPr>
              <w:t xml:space="preserve">0%, Seminar work: </w:t>
            </w:r>
            <w:r w:rsidR="00A04D28">
              <w:rPr>
                <w:rFonts w:asciiTheme="majorHAnsi" w:hAnsiTheme="majorHAnsi" w:cs="Arial"/>
                <w:b/>
                <w:sz w:val="18"/>
                <w:szCs w:val="18"/>
              </w:rPr>
              <w:t>1</w:t>
            </w:r>
            <w:r w:rsidR="00BF3CAF">
              <w:rPr>
                <w:rFonts w:asciiTheme="majorHAnsi" w:hAnsiTheme="majorHAnsi" w:cs="Arial"/>
                <w:b/>
                <w:sz w:val="18"/>
                <w:szCs w:val="18"/>
              </w:rPr>
              <w:t>0</w:t>
            </w:r>
            <w:r w:rsidR="00A46CB1" w:rsidRPr="00A46CB1">
              <w:rPr>
                <w:rFonts w:asciiTheme="majorHAnsi" w:hAnsiTheme="majorHAnsi" w:cs="Arial"/>
                <w:b/>
                <w:sz w:val="18"/>
                <w:szCs w:val="18"/>
              </w:rPr>
              <w:t>%</w:t>
            </w:r>
          </w:p>
          <w:p w:rsidR="00CB72ED" w:rsidRPr="00B96B4F" w:rsidRDefault="00A46CB1" w:rsidP="00A46CB1">
            <w:pPr>
              <w:pStyle w:val="NoSpacing"/>
              <w:rPr>
                <w:rFonts w:asciiTheme="majorHAnsi" w:hAnsiTheme="majorHAnsi" w:cs="Arial"/>
                <w:b/>
                <w:sz w:val="18"/>
                <w:szCs w:val="18"/>
              </w:rPr>
            </w:pPr>
            <w:r w:rsidRPr="00A46CB1">
              <w:rPr>
                <w:rFonts w:asciiTheme="majorHAnsi" w:hAnsiTheme="majorHAnsi" w:cs="Arial"/>
                <w:b/>
                <w:sz w:val="18"/>
                <w:szCs w:val="18"/>
              </w:rPr>
              <w:t>Final exam: 50%.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 xml:space="preserve">Anatas, P, T. and  W illiams,  T.C.,eds (1998): Green Chemistry: Frontiers in benign Chemical Synthesis and Processes, Oxford Universit y Press, New York. </w:t>
            </w:r>
            <w:r w:rsidR="00F0620D" w:rsidRPr="00F0620D">
              <w:rPr>
                <w:rFonts w:asciiTheme="majorHAnsi" w:hAnsiTheme="majorHAnsi" w:cs="Arial"/>
                <w:b/>
                <w:sz w:val="18"/>
                <w:szCs w:val="18"/>
              </w:rPr>
              <w:t>.</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 xml:space="preserve">1.  Jaganjac et al. (2008): Zeleno inženjerstvo okolinski osmišljeno projektovanje hemijskih procesa – Poglavlje zelena hemija, Prevod udžbenika Allen, T.D. and D.R. Schonnard: Green Engeneering ( Environmentall y conscious Design  of Chemical proccesses), prentice Hall PTR, Nj,2002.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AE5280">
              <w:rPr>
                <w:rFonts w:asciiTheme="majorHAnsi" w:hAnsiTheme="majorHAnsi" w:cs="Arial"/>
                <w:b/>
                <w:spacing w:val="215"/>
                <w:sz w:val="18"/>
                <w:szCs w:val="18"/>
              </w:rPr>
              <w:t>    </w:t>
            </w:r>
            <w:r w:rsidR="00FB48B6" w:rsidRPr="00AE5280">
              <w:rPr>
                <w:rFonts w:asciiTheme="majorHAnsi" w:hAnsiTheme="majorHAnsi" w:cs="Arial"/>
                <w:b/>
                <w:spacing w:val="3"/>
                <w:sz w:val="18"/>
                <w:szCs w:val="18"/>
              </w:rPr>
              <w:t> </w:t>
            </w:r>
            <w:r w:rsidRPr="00AE5280">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F03" w:rsidRDefault="00F65F03">
      <w:pPr>
        <w:spacing w:line="240" w:lineRule="auto"/>
      </w:pPr>
      <w:r>
        <w:separator/>
      </w:r>
    </w:p>
  </w:endnote>
  <w:endnote w:type="continuationSeparator" w:id="0">
    <w:p w:rsidR="00F65F03" w:rsidRDefault="00F65F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040E11">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040E11">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040E11">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F03" w:rsidRDefault="00F65F03">
      <w:pPr>
        <w:spacing w:after="0"/>
      </w:pPr>
      <w:r>
        <w:separator/>
      </w:r>
    </w:p>
  </w:footnote>
  <w:footnote w:type="continuationSeparator" w:id="0">
    <w:p w:rsidR="00F65F03" w:rsidRDefault="00F65F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0E11"/>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6B4"/>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32B3"/>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20995"/>
    <w:rsid w:val="0072248A"/>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4D28"/>
    <w:rsid w:val="00A073BF"/>
    <w:rsid w:val="00A11B6C"/>
    <w:rsid w:val="00A124D0"/>
    <w:rsid w:val="00A21010"/>
    <w:rsid w:val="00A22D32"/>
    <w:rsid w:val="00A444A5"/>
    <w:rsid w:val="00A46BCD"/>
    <w:rsid w:val="00A46CB1"/>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3CAF"/>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2199"/>
    <w:rsid w:val="00D764F7"/>
    <w:rsid w:val="00D91853"/>
    <w:rsid w:val="00DA1C36"/>
    <w:rsid w:val="00DA3DC5"/>
    <w:rsid w:val="00DB1ACB"/>
    <w:rsid w:val="00DB2A5B"/>
    <w:rsid w:val="00DB351A"/>
    <w:rsid w:val="00DB49E6"/>
    <w:rsid w:val="00DC2E13"/>
    <w:rsid w:val="00DC4ECD"/>
    <w:rsid w:val="00DD1ECB"/>
    <w:rsid w:val="00DD5399"/>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620D"/>
    <w:rsid w:val="00F075A1"/>
    <w:rsid w:val="00F12E3E"/>
    <w:rsid w:val="00F15264"/>
    <w:rsid w:val="00F2055F"/>
    <w:rsid w:val="00F22194"/>
    <w:rsid w:val="00F30C75"/>
    <w:rsid w:val="00F42C1D"/>
    <w:rsid w:val="00F5229F"/>
    <w:rsid w:val="00F57B5B"/>
    <w:rsid w:val="00F63EC3"/>
    <w:rsid w:val="00F65F03"/>
    <w:rsid w:val="00F74636"/>
    <w:rsid w:val="00F76200"/>
    <w:rsid w:val="00F8320C"/>
    <w:rsid w:val="00F85D0C"/>
    <w:rsid w:val="00F86CF5"/>
    <w:rsid w:val="00F8735B"/>
    <w:rsid w:val="00F93BE3"/>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82C7F-0ACB-4022-848C-94E0B8621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2026-03-13T09:44:00Z</dcterms:created>
  <dcterms:modified xsi:type="dcterms:W3CDTF">2026-03-13T09:44:00Z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